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174</w:t>
      </w:r>
    </w:p>
    <w:p>
      <w:r>
        <w:t>Bundesgericht (BGE), 1974-12-09, FR</w:t>
      </w:r>
    </w:p>
    <w:p>
      <w:r>
        <w:rPr>
          <w:b/>
        </w:rPr>
        <w:t xml:space="preserve">Quelle: </w:t>
      </w:r>
      <w:r>
        <w:t>https://mcp.opencaselaw.ch/entscheid/bge_101 II 174</w:t>
      </w:r>
    </w:p>
    <w:p>
      <w:r>
        <w:t>FR: ATF 101 II 174</w:t>
      </w:r>
    </w:p>
    <w:p>
      <w:r>
        <w:t>IT: DTF 101 II 174</w:t>
      </w:r>
    </w:p>
    <w:p>
      <w:pPr>
        <w:pStyle w:val="Heading2"/>
      </w:pPr>
      <w:r>
        <w:t>Regeste</w:t>
      </w:r>
    </w:p>
    <w:p>
      <w:r>
        <w:t>Regeste Art. 50 und 59 Abs. 4 OG. Die Anschlussberufung fällt dahin, selbst wenn sie die Voraussetzungen des Art. 50 Abs. 1 OG erfüllt, die Berufung aber nach dieser Bestimmung unzulässig ist.</w:t>
      </w:r>
    </w:p>
    <w:p>
      <w:pPr>
        <w:pStyle w:val="Heading2"/>
      </w:pPr>
      <w:r>
        <w:t>Erwägungen</w:t>
      </w:r>
    </w:p>
    <w:p>
      <w:r>
        <w:rPr>
          <w:b/>
        </w:rPr>
        <w:t>E. 2</w:t>
      </w:r>
    </w:p>
    <w:p>
      <w:r>
        <w:t>L'arrêt du 9 décembre 1974 constituant une décision préjudicielle ou incidente, le recours en réforme n'est recevable que si une décision finale peut ainsi être provoquée immédiatement et que la durée et les frais de la procédure probatoire seraient si considérables qu'il convient de les éviter en autorisant le recours immédiat au tribunal (art. 50 OJ). Or cette condition n'est pas remplie en l'espèce. La responsabilité de principe des défendeurs a été admise à raison de 50%, et le demandeur requiert du Tribunal fédéral, dans son recours en réforme, la condamnation des défendeurs à réparer la totalité du dommage. Ce recours ne saurait donc éviter une procédure probatoire portant sur le montant du dommage. Seul le recours joint des défendeurs, qui tend à leur libération, serait de nature à éviter une telle procédure. Mais le recours joint n'est valable que si le recours principal est recevable (art. 59 al. 4 OJ). Le premier ne saurait obvier à l'irrecevabilité du second.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